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59" w:rsidRDefault="00586159" w:rsidP="00AB7FFD">
      <w:pPr>
        <w:pStyle w:val="Vnbnnidung40"/>
        <w:shd w:val="clear" w:color="auto" w:fill="auto"/>
        <w:spacing w:before="0" w:after="0" w:line="339" w:lineRule="exact"/>
        <w:ind w:left="420" w:firstLine="0"/>
        <w:jc w:val="left"/>
        <w:rPr>
          <w:rStyle w:val="Vnbnnidung411pt"/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86159">
        <w:rPr>
          <w:rStyle w:val="Vnbnnidung411pt"/>
          <w:rFonts w:ascii="Arial" w:hAnsi="Arial" w:cs="Arial"/>
          <w:b/>
          <w:bCs/>
          <w:sz w:val="20"/>
          <w:szCs w:val="20"/>
          <w:lang w:val="en-US"/>
        </w:rPr>
        <w:t>G36</w:t>
      </w:r>
      <w:proofErr w:type="spellEnd"/>
      <w:r w:rsidRPr="00586159">
        <w:rPr>
          <w:rStyle w:val="Vnbnnidung411pt"/>
          <w:rFonts w:ascii="Arial" w:hAnsi="Arial" w:cs="Arial"/>
          <w:b/>
          <w:bCs/>
          <w:sz w:val="20"/>
          <w:szCs w:val="20"/>
          <w:lang w:val="en-US"/>
        </w:rPr>
        <w:t xml:space="preserve"> -</w:t>
      </w:r>
      <w:r>
        <w:rPr>
          <w:rStyle w:val="Vnbnnidung411pt"/>
          <w:rFonts w:ascii="Arial" w:hAnsi="Arial" w:cs="Arial"/>
          <w:b/>
          <w:bCs/>
          <w:sz w:val="20"/>
          <w:szCs w:val="20"/>
          <w:lang w:val="en-US"/>
        </w:rPr>
        <w:t xml:space="preserve"> Semi-annual Report of BOD 2017</w:t>
      </w:r>
    </w:p>
    <w:p w:rsidR="00AB7FFD" w:rsidRPr="00AB7FFD" w:rsidRDefault="00AB7FFD" w:rsidP="00AB7FFD">
      <w:pPr>
        <w:pStyle w:val="Vnbnnidung40"/>
        <w:shd w:val="clear" w:color="auto" w:fill="auto"/>
        <w:spacing w:before="0" w:after="0" w:line="339" w:lineRule="exact"/>
        <w:ind w:left="420" w:firstLine="0"/>
        <w:jc w:val="left"/>
        <w:rPr>
          <w:rFonts w:ascii="Arial" w:hAnsi="Arial" w:cs="Arial"/>
          <w:sz w:val="20"/>
          <w:szCs w:val="20"/>
        </w:rPr>
      </w:pPr>
      <w:r w:rsidRPr="00AB7FFD">
        <w:rPr>
          <w:rStyle w:val="Vnbnnidung411pt"/>
          <w:rFonts w:ascii="Arial" w:hAnsi="Arial" w:cs="Arial"/>
          <w:b/>
          <w:bCs/>
          <w:sz w:val="20"/>
          <w:szCs w:val="20"/>
        </w:rPr>
        <w:t>C</w:t>
      </w:r>
      <w:r w:rsidRPr="00AB7FFD">
        <w:rPr>
          <w:rStyle w:val="Vnbnnidung411pt"/>
          <w:rFonts w:ascii="Arial" w:eastAsiaTheme="minorEastAsia" w:hAnsi="Arial" w:cs="Arial"/>
          <w:b/>
          <w:bCs/>
          <w:sz w:val="20"/>
          <w:szCs w:val="20"/>
          <w:lang w:eastAsia="ko-KR"/>
        </w:rPr>
        <w:t>ompany</w:t>
      </w:r>
      <w:r w:rsidRPr="00AB7FFD">
        <w:rPr>
          <w:rStyle w:val="Vnbnnidung411pt"/>
          <w:rFonts w:ascii="Arial" w:hAnsi="Arial" w:cs="Arial"/>
          <w:b/>
          <w:bCs/>
          <w:sz w:val="20"/>
          <w:szCs w:val="20"/>
        </w:rPr>
        <w:t xml:space="preserve">: </w:t>
      </w:r>
      <w:r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36</w:t>
      </w:r>
      <w:r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 xml:space="preserve"> Corporation</w:t>
      </w:r>
      <w:r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 -</w:t>
      </w:r>
      <w:r w:rsidR="00827FE5"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 xml:space="preserve"> JSC</w:t>
      </w:r>
    </w:p>
    <w:p w:rsidR="00AB7FFD" w:rsidRPr="00AB7FFD" w:rsidRDefault="00E95817" w:rsidP="00AB7FFD">
      <w:pPr>
        <w:pStyle w:val="Vnbnnidung20"/>
        <w:shd w:val="clear" w:color="auto" w:fill="auto"/>
        <w:spacing w:before="0" w:after="0" w:line="339" w:lineRule="exact"/>
        <w:ind w:left="420" w:firstLine="0"/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</w:pPr>
      <w:r>
        <w:rPr>
          <w:rFonts w:ascii="Arial" w:eastAsiaTheme="minorEastAsia" w:hAnsi="Arial" w:cs="Arial"/>
          <w:color w:val="000000"/>
          <w:sz w:val="20"/>
          <w:szCs w:val="20"/>
          <w:lang w:bidi="vi-VN"/>
        </w:rPr>
        <w:t xml:space="preserve">Address of </w:t>
      </w:r>
      <w:proofErr w:type="gramStart"/>
      <w:r>
        <w:rPr>
          <w:rFonts w:ascii="Arial" w:eastAsiaTheme="minorEastAsia" w:hAnsi="Arial" w:cs="Arial"/>
          <w:color w:val="000000"/>
          <w:sz w:val="20"/>
          <w:szCs w:val="20"/>
          <w:lang w:bidi="vi-VN"/>
        </w:rPr>
        <w:t>headq</w:t>
      </w:r>
      <w:bookmarkStart w:id="0" w:name="_GoBack"/>
      <w:bookmarkEnd w:id="0"/>
      <w:r>
        <w:rPr>
          <w:rFonts w:ascii="Arial" w:eastAsiaTheme="minorEastAsia" w:hAnsi="Arial" w:cs="Arial"/>
          <w:color w:val="000000"/>
          <w:sz w:val="20"/>
          <w:szCs w:val="20"/>
          <w:lang w:bidi="vi-VN"/>
        </w:rPr>
        <w:t>uarter</w:t>
      </w:r>
      <w:r w:rsidR="00AB7FFD"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:</w:t>
      </w:r>
      <w:proofErr w:type="gramEnd"/>
      <w:r w:rsidR="00AB7FFD"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 141 H</w:t>
      </w:r>
      <w:r w:rsidR="00AB7FFD"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 xml:space="preserve">o Dac </w:t>
      </w:r>
      <w:r w:rsidR="00AB7FFD"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Di, </w:t>
      </w:r>
      <w:r w:rsidR="00AB7FFD"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>Nam Dong Ward</w:t>
      </w:r>
      <w:r w:rsidR="00AB7FFD"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, </w:t>
      </w:r>
      <w:r w:rsidR="00AB7FFD"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>Dong Da District, Hanoi</w:t>
      </w:r>
    </w:p>
    <w:p w:rsidR="00AB7FFD" w:rsidRPr="00AB7FFD" w:rsidRDefault="00AB7FFD" w:rsidP="00AB7FFD">
      <w:pPr>
        <w:pStyle w:val="Vnbnnidung20"/>
        <w:shd w:val="clear" w:color="auto" w:fill="auto"/>
        <w:spacing w:before="0" w:after="0" w:line="339" w:lineRule="exact"/>
        <w:ind w:left="420" w:right="700" w:firstLine="0"/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</w:pPr>
      <w:r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>Tel</w:t>
      </w:r>
      <w:r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: (04).35332471 </w:t>
      </w:r>
      <w:r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ab/>
      </w:r>
      <w:r w:rsidRPr="00AB7FFD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Fax: (04)35332472</w:t>
      </w:r>
    </w:p>
    <w:p w:rsidR="00AB7FFD" w:rsidRDefault="00AB7FFD" w:rsidP="00AB7FFD">
      <w:pPr>
        <w:pStyle w:val="Vnbnnidung20"/>
        <w:shd w:val="clear" w:color="auto" w:fill="auto"/>
        <w:spacing w:before="0" w:after="0" w:line="345" w:lineRule="exact"/>
        <w:ind w:left="420" w:firstLine="0"/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Charter capital</w:t>
      </w:r>
      <w:r w:rsidRPr="00AB7FFD"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  <w:t xml:space="preserve">: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 xml:space="preserve">430,000,000,000 VND </w:t>
      </w:r>
    </w:p>
    <w:p w:rsidR="00AB7FFD" w:rsidRPr="00AB7FFD" w:rsidRDefault="00E95817" w:rsidP="00AB7FFD">
      <w:pPr>
        <w:pStyle w:val="Vnbnnidung20"/>
        <w:shd w:val="clear" w:color="auto" w:fill="auto"/>
        <w:spacing w:before="0" w:after="0" w:line="345" w:lineRule="exact"/>
        <w:ind w:left="420" w:firstLine="0"/>
        <w:rPr>
          <w:rFonts w:ascii="Arial" w:hAnsi="Arial" w:cs="Arial"/>
          <w:sz w:val="20"/>
          <w:szCs w:val="20"/>
          <w:lang w:val="vi-VN"/>
        </w:rPr>
      </w:pPr>
      <w:r>
        <w:rPr>
          <w:rFonts w:ascii="Arial" w:eastAsiaTheme="minorEastAsia" w:hAnsi="Arial" w:cs="Arial"/>
          <w:color w:val="000000"/>
          <w:sz w:val="20"/>
          <w:szCs w:val="20"/>
          <w:lang w:bidi="vi-VN"/>
        </w:rPr>
        <w:t>Securities</w:t>
      </w:r>
      <w:r w:rsidR="00AB7FFD"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 xml:space="preserve"> code: G36</w:t>
      </w:r>
    </w:p>
    <w:p w:rsidR="00DE7871" w:rsidRDefault="00756219">
      <w:pPr>
        <w:rPr>
          <w:rFonts w:ascii="Arial" w:hAnsi="Arial" w:cs="Arial"/>
          <w:sz w:val="20"/>
          <w:szCs w:val="20"/>
          <w:lang w:val="vi-VN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517"/>
        <w:gridCol w:w="1357"/>
        <w:gridCol w:w="1169"/>
        <w:gridCol w:w="6310"/>
      </w:tblGrid>
      <w:tr w:rsidR="00AB7FFD" w:rsidRPr="00EB47C8" w:rsidTr="00756219">
        <w:trPr>
          <w:trHeight w:hRule="exact" w:val="56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FFD" w:rsidRPr="00AD665A" w:rsidRDefault="00AB7FFD" w:rsidP="00AB7FFD">
            <w:pPr>
              <w:pStyle w:val="Vnbnnidung20"/>
              <w:shd w:val="clear" w:color="auto" w:fill="auto"/>
              <w:spacing w:before="0" w:after="0" w:line="240" w:lineRule="exact"/>
              <w:ind w:firstLine="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D665A">
              <w:rPr>
                <w:rFonts w:ascii="Arial" w:eastAsiaTheme="minorEastAsia" w:hAnsi="Arial" w:cs="Arial"/>
                <w:b/>
                <w:sz w:val="20"/>
                <w:szCs w:val="20"/>
              </w:rPr>
              <w:t>No</w:t>
            </w:r>
            <w:r w:rsidR="00E95817">
              <w:rPr>
                <w:rFonts w:ascii="Arial" w:eastAsiaTheme="minorEastAsia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FFD" w:rsidRPr="00AD665A" w:rsidRDefault="00AB7FFD" w:rsidP="00AB7FFD">
            <w:pPr>
              <w:pStyle w:val="Vnbnnidung20"/>
              <w:shd w:val="clear" w:color="auto" w:fill="auto"/>
              <w:spacing w:before="0" w:after="0" w:line="240" w:lineRule="exact"/>
              <w:ind w:firstLine="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D665A">
              <w:rPr>
                <w:rFonts w:ascii="Arial" w:eastAsiaTheme="minorEastAsia" w:hAnsi="Arial" w:cs="Arial"/>
                <w:b/>
                <w:sz w:val="20"/>
                <w:szCs w:val="20"/>
              </w:rPr>
              <w:t>Resolutions/ Decision No.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7FFD" w:rsidRPr="00AD665A" w:rsidRDefault="00AB7FFD" w:rsidP="00AB7FFD">
            <w:pPr>
              <w:pStyle w:val="Vnbnnidung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D665A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7FFD" w:rsidRPr="00AD665A" w:rsidRDefault="00AB7FFD" w:rsidP="00AB7FFD">
            <w:pPr>
              <w:pStyle w:val="Vnbnnidung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D665A">
              <w:rPr>
                <w:rFonts w:ascii="Arial" w:eastAsiaTheme="minorEastAsia" w:hAnsi="Arial" w:cs="Arial"/>
                <w:b/>
                <w:sz w:val="20"/>
                <w:szCs w:val="20"/>
              </w:rPr>
              <w:t>Contents</w:t>
            </w:r>
          </w:p>
        </w:tc>
      </w:tr>
      <w:tr w:rsidR="00AB7FFD" w:rsidRPr="00EB47C8" w:rsidTr="00756219">
        <w:trPr>
          <w:trHeight w:hRule="exact" w:val="6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FFD" w:rsidRPr="00EB47C8" w:rsidRDefault="00AB7FFD" w:rsidP="00AB7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7FFD" w:rsidRPr="00EB47C8" w:rsidRDefault="00AB7FFD" w:rsidP="00AB7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FFD" w:rsidRPr="00EB47C8" w:rsidRDefault="00AB7FFD" w:rsidP="00AB7FFD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hAnsi="Arial" w:cs="Arial"/>
                <w:sz w:val="20"/>
                <w:szCs w:val="20"/>
              </w:rPr>
              <w:t xml:space="preserve"> 01/2017/NQ- ĐI-Đ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HD</w:t>
            </w:r>
            <w:r w:rsidRPr="00EB47C8">
              <w:rPr>
                <w:rFonts w:ascii="Arial" w:hAnsi="Arial" w:cs="Arial"/>
                <w:sz w:val="20"/>
                <w:szCs w:val="20"/>
              </w:rPr>
              <w:t>CĐ36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FFD" w:rsidRPr="00EB47C8" w:rsidRDefault="00AB7FFD" w:rsidP="00AB7FFD">
            <w:pPr>
              <w:pStyle w:val="Vnbnnidung20"/>
              <w:shd w:val="clear" w:color="auto" w:fill="auto"/>
              <w:spacing w:before="0" w:after="0" w:line="220" w:lineRule="exact"/>
              <w:ind w:left="140" w:firstLine="0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hAnsi="Arial" w:cs="Arial"/>
                <w:sz w:val="20"/>
                <w:szCs w:val="20"/>
              </w:rPr>
              <w:t>10/4/2017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FFD" w:rsidRPr="00EB47C8" w:rsidRDefault="00AB7FFD" w:rsidP="00AB7FFD">
            <w:pPr>
              <w:pStyle w:val="Vnbnnidung20"/>
              <w:shd w:val="clear" w:color="auto" w:fill="auto"/>
              <w:spacing w:before="0" w:line="22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Approve</w:t>
            </w:r>
            <w:r w:rsidRPr="00EB47C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B7FFD" w:rsidRPr="00EB47C8" w:rsidRDefault="00AB7FFD" w:rsidP="00AB7FFD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line="295" w:lineRule="exact"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Letter of </w:t>
            </w:r>
            <w:r w:rsidR="00EB47C8" w:rsidRPr="00EB47C8">
              <w:rPr>
                <w:rFonts w:ascii="Arial" w:eastAsiaTheme="minorEastAsia" w:hAnsi="Arial" w:cs="Arial"/>
                <w:sz w:val="20"/>
                <w:szCs w:val="20"/>
              </w:rPr>
              <w:t>Business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Production Result of </w:t>
            </w:r>
            <w:r w:rsidRPr="00EB47C8">
              <w:rPr>
                <w:rFonts w:ascii="Arial" w:hAnsi="Arial" w:cs="Arial"/>
                <w:sz w:val="20"/>
                <w:szCs w:val="20"/>
              </w:rPr>
              <w:t>2016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and adjustment, supplementation of some main targets in the business and production task of 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 2017;</w:t>
            </w:r>
          </w:p>
          <w:p w:rsidR="00AB7FFD" w:rsidRPr="00EB47C8" w:rsidRDefault="00AB7FFD" w:rsidP="00AB7FFD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line="295" w:lineRule="exact"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Report of Income Statements by the Board of Directors in 2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016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and the orientation of 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2017;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Report of the Board of Supervision in 2016 and the orientation of </w:t>
            </w:r>
            <w:r w:rsidRPr="00EB47C8">
              <w:rPr>
                <w:rFonts w:ascii="Arial" w:hAnsi="Arial" w:cs="Arial"/>
                <w:sz w:val="20"/>
                <w:szCs w:val="20"/>
              </w:rPr>
              <w:t>2017;</w:t>
            </w:r>
          </w:p>
          <w:p w:rsidR="00AB7FFD" w:rsidRPr="00EB47C8" w:rsidRDefault="00AB7FFD" w:rsidP="00AB7FFD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line="295" w:lineRule="exact"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Audited financial statements of 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2016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and the profit distribution and dividend release in </w:t>
            </w:r>
            <w:r w:rsidRPr="00EB47C8">
              <w:rPr>
                <w:rFonts w:ascii="Arial" w:hAnsi="Arial" w:cs="Arial"/>
                <w:sz w:val="20"/>
                <w:szCs w:val="20"/>
              </w:rPr>
              <w:t>2016;</w:t>
            </w:r>
          </w:p>
          <w:p w:rsidR="00AB7FFD" w:rsidRPr="00EB47C8" w:rsidRDefault="00AB7FFD" w:rsidP="00AB7FFD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20"/>
              </w:tabs>
              <w:spacing w:line="295" w:lineRule="exact"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Letter of the remuneration of BOD and BOS in </w:t>
            </w:r>
            <w:r w:rsidRPr="00EB47C8">
              <w:rPr>
                <w:rFonts w:ascii="Arial" w:hAnsi="Arial" w:cs="Arial"/>
                <w:sz w:val="20"/>
                <w:szCs w:val="20"/>
              </w:rPr>
              <w:t>2016 (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the remaining 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06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months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and the method of payment in 2</w:t>
            </w:r>
            <w:r w:rsidRPr="00EB47C8">
              <w:rPr>
                <w:rFonts w:ascii="Arial" w:hAnsi="Arial" w:cs="Arial"/>
                <w:sz w:val="20"/>
                <w:szCs w:val="20"/>
              </w:rPr>
              <w:t xml:space="preserve">017;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Letter of selecting an audit firm for the financial statements of </w:t>
            </w:r>
            <w:r w:rsidRPr="00EB47C8">
              <w:rPr>
                <w:rFonts w:ascii="Arial" w:hAnsi="Arial" w:cs="Arial"/>
                <w:sz w:val="20"/>
                <w:szCs w:val="20"/>
              </w:rPr>
              <w:t>2017;</w:t>
            </w:r>
          </w:p>
          <w:p w:rsidR="00AB7FFD" w:rsidRPr="00EB47C8" w:rsidRDefault="00170654" w:rsidP="00170654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after="0" w:line="295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Add relevant sectors to the business type as "management of condominium operation" and "management of </w:t>
            </w:r>
            <w:r w:rsidR="00171E38"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hotel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operation and </w:t>
            </w:r>
            <w:r w:rsidR="00171E38" w:rsidRPr="00EB47C8">
              <w:rPr>
                <w:rFonts w:ascii="Arial" w:eastAsiaTheme="minorEastAsia" w:hAnsi="Arial" w:cs="Arial"/>
                <w:sz w:val="20"/>
                <w:szCs w:val="20"/>
              </w:rPr>
              <w:t>exploitation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"; Add "criteria of independent members of </w:t>
            </w:r>
            <w:r w:rsidR="00171E38" w:rsidRPr="00EB47C8">
              <w:rPr>
                <w:rFonts w:ascii="Arial" w:eastAsiaTheme="minorEastAsia" w:hAnsi="Arial" w:cs="Arial"/>
                <w:sz w:val="20"/>
                <w:szCs w:val="20"/>
              </w:rPr>
              <w:t>BOD”; Authorize the BOD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to decide on the ownership ratio of the foreign investor to carry out the procedures for changing the business registration and amending the above contents into the </w:t>
            </w:r>
            <w:r w:rsidR="00171E38" w:rsidRPr="00EB47C8">
              <w:rPr>
                <w:rFonts w:ascii="Arial" w:eastAsiaTheme="minorEastAsia" w:hAnsi="Arial" w:cs="Arial"/>
                <w:sz w:val="20"/>
                <w:szCs w:val="20"/>
              </w:rPr>
              <w:t>Incorporate Articles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:rsidR="00170654" w:rsidRPr="00EB47C8" w:rsidRDefault="00171E38" w:rsidP="00171E38">
            <w:pPr>
              <w:pStyle w:val="Vnbnnidung20"/>
              <w:numPr>
                <w:ilvl w:val="0"/>
                <w:numId w:val="1"/>
              </w:numPr>
              <w:shd w:val="clear" w:color="auto" w:fill="auto"/>
              <w:tabs>
                <w:tab w:val="left" w:pos="315"/>
              </w:tabs>
              <w:spacing w:after="0" w:line="295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Dismiss and elect </w:t>
            </w:r>
            <w:r w:rsidR="00170654" w:rsidRPr="00EB47C8">
              <w:rPr>
                <w:rFonts w:ascii="Arial" w:eastAsiaTheme="minorEastAsia" w:hAnsi="Arial" w:cs="Arial"/>
                <w:sz w:val="20"/>
                <w:szCs w:val="20"/>
              </w:rPr>
              <w:t>01 (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one</w:t>
            </w:r>
            <w:r w:rsidR="00170654" w:rsidRPr="00EB47C8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independent member of BOD for the term of </w:t>
            </w:r>
            <w:r w:rsidR="00170654" w:rsidRPr="00EB47C8">
              <w:rPr>
                <w:rFonts w:ascii="Arial" w:eastAsiaTheme="minorEastAsia" w:hAnsi="Arial" w:cs="Arial"/>
                <w:sz w:val="20"/>
                <w:szCs w:val="20"/>
              </w:rPr>
              <w:t>2016 -2021</w:t>
            </w:r>
          </w:p>
        </w:tc>
      </w:tr>
    </w:tbl>
    <w:p w:rsidR="00AB7FFD" w:rsidRDefault="00AB7FFD">
      <w:pPr>
        <w:rPr>
          <w:rFonts w:ascii="Arial" w:hAnsi="Arial" w:cs="Arial"/>
          <w:sz w:val="20"/>
          <w:szCs w:val="20"/>
        </w:rPr>
      </w:pPr>
    </w:p>
    <w:p w:rsidR="00171E38" w:rsidRPr="00EB47C8" w:rsidRDefault="00171E38">
      <w:pPr>
        <w:rPr>
          <w:rFonts w:ascii="Arial" w:hAnsi="Arial" w:cs="Arial"/>
          <w:b/>
          <w:sz w:val="20"/>
          <w:szCs w:val="20"/>
        </w:rPr>
      </w:pPr>
      <w:r w:rsidRPr="00EB47C8">
        <w:rPr>
          <w:rFonts w:ascii="Arial" w:hAnsi="Arial" w:cs="Arial" w:hint="eastAsia"/>
          <w:b/>
          <w:sz w:val="20"/>
          <w:szCs w:val="20"/>
        </w:rPr>
        <w:t>II. Activities of the Board of Directors</w:t>
      </w:r>
    </w:p>
    <w:p w:rsidR="00171E38" w:rsidRPr="00EB47C8" w:rsidRDefault="00171E38" w:rsidP="00171E3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B47C8">
        <w:rPr>
          <w:rFonts w:ascii="Arial" w:hAnsi="Arial" w:cs="Arial" w:hint="eastAsia"/>
          <w:b/>
          <w:sz w:val="20"/>
          <w:szCs w:val="20"/>
        </w:rPr>
        <w:t>Information of the Board of Directors</w:t>
      </w:r>
    </w:p>
    <w:tbl>
      <w:tblPr>
        <w:tblOverlap w:val="never"/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65"/>
        <w:gridCol w:w="3125"/>
        <w:gridCol w:w="1550"/>
        <w:gridCol w:w="1560"/>
        <w:gridCol w:w="1140"/>
        <w:gridCol w:w="845"/>
        <w:gridCol w:w="1150"/>
      </w:tblGrid>
      <w:tr w:rsidR="00171E38" w:rsidRPr="00171E38" w:rsidTr="00171E38">
        <w:trPr>
          <w:trHeight w:hRule="exact" w:val="14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left="18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</w:tc>
        <w:tc>
          <w:tcPr>
            <w:tcW w:w="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>Members of BOD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E95817" w:rsidP="00171E38">
            <w:pPr>
              <w:pStyle w:val="Vnbnnidung20"/>
              <w:shd w:val="clear" w:color="auto" w:fill="auto"/>
              <w:spacing w:before="0" w:after="0" w:line="240" w:lineRule="exact"/>
              <w:ind w:left="3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>Position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95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>Commence date of BOD member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95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>Number of meeting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180" w:line="240" w:lineRule="exact"/>
              <w:ind w:left="240" w:firstLine="0"/>
              <w:jc w:val="center"/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171E38" w:rsidRPr="00171E38" w:rsidRDefault="00E95817" w:rsidP="00171E38">
            <w:pPr>
              <w:pStyle w:val="Vnbnnidung20"/>
              <w:shd w:val="clear" w:color="auto" w:fill="auto"/>
              <w:spacing w:before="0" w:after="180" w:line="24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2pt"/>
                <w:rFonts w:ascii="Arial" w:eastAsiaTheme="minorEastAsia" w:hAnsi="Arial" w:cs="Arial"/>
                <w:sz w:val="20"/>
                <w:szCs w:val="20"/>
                <w:lang w:val="en-US" w:eastAsia="ko-KR"/>
              </w:rPr>
              <w:t>Percentage</w:t>
            </w:r>
            <w:r w:rsidR="00171E38" w:rsidRPr="00171E38"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 xml:space="preserve"> </w:t>
            </w:r>
            <w:r w:rsidR="00171E38" w:rsidRPr="00171E38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9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Style w:val="Vnbnnidung212pt"/>
                <w:rFonts w:ascii="Arial" w:eastAsiaTheme="minorEastAsia" w:hAnsi="Arial" w:cs="Arial"/>
                <w:sz w:val="20"/>
                <w:szCs w:val="20"/>
                <w:lang w:eastAsia="ko-KR"/>
              </w:rPr>
              <w:t>Reason for absence</w:t>
            </w:r>
          </w:p>
        </w:tc>
      </w:tr>
      <w:tr w:rsidR="00171E38" w:rsidRPr="00171E38" w:rsidTr="00171E38">
        <w:trPr>
          <w:trHeight w:hRule="exact" w:val="5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Nguyen Dang Giap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Ch</w:t>
            </w: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airman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E38" w:rsidRPr="00171E38" w:rsidTr="00171E38">
        <w:trPr>
          <w:trHeight w:hRule="exact" w:val="5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80" w:lineRule="exact"/>
              <w:ind w:firstLine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Nguyen Van Hien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E38" w:rsidRPr="00171E38" w:rsidTr="00171E38">
        <w:trPr>
          <w:trHeight w:hRule="exact" w:val="54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80" w:lineRule="exact"/>
              <w:ind w:firstLine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40" w:lineRule="exact"/>
              <w:ind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Nguy</w:t>
            </w: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e</w:t>
            </w: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 Thanh Tu</w:t>
            </w: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a</w:t>
            </w: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10/4/2017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E38" w:rsidRPr="00171E38" w:rsidTr="00171E38">
        <w:trPr>
          <w:trHeight w:hRule="exact" w:val="53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4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Nguy</w:t>
            </w: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e</w:t>
            </w:r>
            <w:r w:rsidRPr="00171E38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n </w:t>
            </w: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Dang Thuan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E38" w:rsidRPr="00171E38" w:rsidTr="00171E38">
        <w:trPr>
          <w:trHeight w:hRule="exact" w:val="56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80" w:lineRule="exact"/>
              <w:ind w:firstLine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171E38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Nguyen Dang Trung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eastAsiaTheme="minorEastAsia" w:hAnsi="Arial" w:cs="Arial"/>
                <w:sz w:val="20"/>
                <w:szCs w:val="20"/>
              </w:rPr>
              <w:t>Member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171E38" w:rsidRDefault="00171E38" w:rsidP="00031802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171E3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E38" w:rsidRPr="00171E38" w:rsidRDefault="00171E38" w:rsidP="000318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E38" w:rsidRDefault="00171E38">
      <w:pPr>
        <w:rPr>
          <w:rFonts w:ascii="Arial" w:hAnsi="Arial" w:cs="Arial"/>
          <w:sz w:val="20"/>
          <w:szCs w:val="20"/>
        </w:rPr>
      </w:pPr>
    </w:p>
    <w:p w:rsidR="00171E38" w:rsidRDefault="00171E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III. </w:t>
      </w:r>
      <w:r w:rsidRPr="002F7F95">
        <w:rPr>
          <w:rFonts w:ascii="Arial" w:hAnsi="Arial" w:cs="Arial" w:hint="eastAsia"/>
          <w:b/>
          <w:sz w:val="20"/>
          <w:szCs w:val="20"/>
        </w:rPr>
        <w:t>Resolutions/ Decisions of Board of Directors:</w:t>
      </w:r>
    </w:p>
    <w:tbl>
      <w:tblPr>
        <w:tblW w:w="10080" w:type="dxa"/>
        <w:tblInd w:w="-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829"/>
        <w:gridCol w:w="1115"/>
        <w:gridCol w:w="6506"/>
      </w:tblGrid>
      <w:tr w:rsidR="002F7F95" w:rsidRPr="00827FE5" w:rsidTr="00B05065">
        <w:trPr>
          <w:trHeight w:hRule="exact" w:val="8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F95" w:rsidRPr="00827FE5" w:rsidRDefault="002F7F95" w:rsidP="00E95817">
            <w:pPr>
              <w:spacing w:after="0" w:line="240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827FE5">
              <w:rPr>
                <w:rStyle w:val="Vnbnnidung214pt"/>
                <w:rFonts w:ascii="Arial" w:eastAsiaTheme="minorEastAsia" w:hAnsi="Arial" w:cs="Arial"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F95" w:rsidRPr="00827FE5" w:rsidRDefault="002F7F95" w:rsidP="00E95817">
            <w:pPr>
              <w:spacing w:after="0" w:line="240" w:lineRule="auto"/>
              <w:ind w:left="300"/>
              <w:rPr>
                <w:rFonts w:ascii="Arial" w:hAnsi="Arial" w:cs="Arial"/>
                <w:b/>
                <w:sz w:val="20"/>
                <w:szCs w:val="20"/>
              </w:rPr>
            </w:pPr>
            <w:r w:rsidRPr="00827FE5">
              <w:rPr>
                <w:rFonts w:ascii="Arial" w:hAnsi="Arial" w:cs="Arial"/>
                <w:b/>
                <w:sz w:val="20"/>
                <w:szCs w:val="20"/>
              </w:rPr>
              <w:t>Resolution/ Decision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F95" w:rsidRPr="00827FE5" w:rsidRDefault="002F7F95" w:rsidP="00E95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FE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F95" w:rsidRPr="00827FE5" w:rsidRDefault="002F7F95" w:rsidP="00E958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7FE5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2F7F95" w:rsidRPr="00827FE5" w:rsidTr="00400A32">
        <w:trPr>
          <w:trHeight w:hRule="exact" w:val="69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01/QĐBN-HĐQT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29/3/2017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Decision on Appointment of Legal Adviser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- H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ead of Legal Department for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d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ealing with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36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Corporation - J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SC</w:t>
            </w:r>
          </w:p>
        </w:tc>
      </w:tr>
      <w:tr w:rsidR="002F7F95" w:rsidRPr="00827FE5" w:rsidTr="00400A32">
        <w:trPr>
          <w:trHeight w:hRule="exact" w:val="6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Style w:val="Vnbnnidung212pt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06/QĐBN-HĐQT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01/6/2017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Decision on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the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consolidation of Secretariat of the B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OD, 36 </w:t>
            </w:r>
            <w:r w:rsidR="00E95817">
              <w:rPr>
                <w:rFonts w:ascii="Arial" w:eastAsiaTheme="minorEastAsia" w:hAnsi="Arial" w:cs="Arial"/>
                <w:sz w:val="20"/>
                <w:szCs w:val="20"/>
              </w:rPr>
              <w:t xml:space="preserve">Corporation - </w:t>
            </w:r>
            <w:proofErr w:type="spellStart"/>
            <w:r w:rsidR="00E95817">
              <w:rPr>
                <w:rFonts w:ascii="Arial" w:eastAsiaTheme="minorEastAsia" w:hAnsi="Arial" w:cs="Arial"/>
                <w:sz w:val="20"/>
                <w:szCs w:val="20"/>
              </w:rPr>
              <w:t>JSC</w:t>
            </w:r>
            <w:proofErr w:type="spellEnd"/>
          </w:p>
        </w:tc>
      </w:tr>
      <w:tr w:rsidR="002F7F95" w:rsidRPr="00827FE5" w:rsidTr="00E95817">
        <w:trPr>
          <w:trHeight w:hRule="exact" w:val="4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05/QĐBN-HĐQT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01/6/2017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Decision on appointment of Political Director,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36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Corporation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- JSC</w:t>
            </w:r>
          </w:p>
        </w:tc>
      </w:tr>
      <w:tr w:rsidR="002F7F95" w:rsidRPr="00827FE5" w:rsidTr="00400A32">
        <w:trPr>
          <w:trHeight w:hRule="exact" w:val="6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04/QĐBN-HĐQT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13/6/2017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Decisio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n on the appointment of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Nguyen Hong Loi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as the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Deputy General Director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36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Corporation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- JSC</w:t>
            </w:r>
          </w:p>
        </w:tc>
      </w:tr>
      <w:tr w:rsidR="002F7F95" w:rsidRPr="00827FE5" w:rsidTr="00400A32">
        <w:trPr>
          <w:trHeight w:hRule="exact" w:val="72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01a</w:t>
            </w:r>
            <w:r w:rsidR="00171E38" w:rsidRPr="00827FE5">
              <w:rPr>
                <w:rFonts w:ascii="Arial" w:hAnsi="Arial" w:cs="Arial"/>
                <w:sz w:val="20"/>
                <w:szCs w:val="20"/>
              </w:rPr>
              <w:t>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10/01/2017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Deci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sion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on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capital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contribution and appoint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ment of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re</w:t>
            </w:r>
            <w:r w:rsidR="00400A32">
              <w:rPr>
                <w:rFonts w:ascii="Arial" w:eastAsiaTheme="minorEastAsia" w:hAnsi="Arial" w:cs="Arial"/>
                <w:sz w:val="20"/>
                <w:szCs w:val="20"/>
              </w:rPr>
              <w:t>presentatives to participate in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manage</w:t>
            </w:r>
            <w:proofErr w:type="gramEnd"/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the capital contributed to the enterprise.</w:t>
            </w:r>
          </w:p>
        </w:tc>
      </w:tr>
      <w:tr w:rsidR="002F7F95" w:rsidRPr="00827FE5" w:rsidTr="00400A32">
        <w:trPr>
          <w:trHeight w:hRule="exact" w:val="4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01</w:t>
            </w:r>
            <w:r w:rsidR="00171E38"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19/01/2017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827FE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Decision of the B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OD on the a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pproval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the </w:t>
            </w:r>
            <w:r w:rsidRPr="00827FE5">
              <w:rPr>
                <w:rFonts w:ascii="Arial" w:eastAsiaTheme="minorEastAsia" w:hAnsi="Arial" w:cs="Arial"/>
                <w:sz w:val="20"/>
                <w:szCs w:val="20"/>
              </w:rPr>
              <w:t>registration of public offering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s</w:t>
            </w:r>
          </w:p>
        </w:tc>
      </w:tr>
      <w:tr w:rsidR="002F7F95" w:rsidRPr="00827FE5" w:rsidTr="00400A32">
        <w:trPr>
          <w:trHeight w:hRule="exact" w:val="10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Style w:val="Vnbnnidung212pt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01b</w:t>
            </w:r>
            <w:r w:rsidR="00171E38"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19/01/2017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F616C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Decision on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established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fee of 0%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income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for work item "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Bone m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ovement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for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the first phase,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bone movement for t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he second phase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,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Package Xl-02: Construction of the foundation,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basement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other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structure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s of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 8 storeys.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Item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Army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 xml:space="preserve">Guest House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at </w:t>
            </w:r>
            <w:r w:rsidR="00827FE5" w:rsidRPr="00827FE5">
              <w:rPr>
                <w:rFonts w:ascii="Arial" w:eastAsiaTheme="minorEastAsia" w:hAnsi="Arial" w:cs="Arial"/>
                <w:sz w:val="20"/>
                <w:szCs w:val="20"/>
              </w:rPr>
              <w:t>266 Thuy Khue ".</w:t>
            </w:r>
          </w:p>
        </w:tc>
      </w:tr>
      <w:tr w:rsidR="002F7F95" w:rsidRPr="00827FE5" w:rsidTr="00400A32">
        <w:trPr>
          <w:trHeight w:hRule="exact" w:val="7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Style w:val="Vnbnnidung212pt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02/QĐ-HĐQT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20/02/2017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1F616C" w:rsidRDefault="001F616C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Decision of the B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OD on approving the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sale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s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of share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options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and the plan to sell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share option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of the Ministry of Defense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in 36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Corporation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- JSC</w:t>
            </w:r>
          </w:p>
        </w:tc>
      </w:tr>
      <w:tr w:rsidR="002F7F95" w:rsidRPr="00827FE5" w:rsidTr="00400A32">
        <w:trPr>
          <w:trHeight w:hRule="exact" w:val="1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03a/QĐ-HĐQT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E38" w:rsidRPr="00827FE5" w:rsidRDefault="00171E3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13/3/2017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E38" w:rsidRPr="001F616C" w:rsidRDefault="001F616C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Decision on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the</w:t>
            </w:r>
            <w:r w:rsidR="00EB47C8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payment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rate of 0% (zero percent)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income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for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quotation that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.63 Corporation h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anded over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from the Company 36.65 of the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work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ing facility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of Nam Dan Public Security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, Nghe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An and volume of 36.66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Corporation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received from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36.65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Corporation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of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General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Hospital of North West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ern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Nghe An.</w:t>
            </w:r>
          </w:p>
        </w:tc>
      </w:tr>
      <w:tr w:rsidR="002F7F95" w:rsidRPr="00827FE5" w:rsidTr="00400A32">
        <w:trPr>
          <w:trHeight w:hRule="exact" w:val="62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03/QĐ-HĐQT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14/3/2017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1F616C" w:rsidRDefault="001F616C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Decision on the </w:t>
            </w:r>
            <w:r w:rsidR="00EB47C8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payment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rate of 2% (</w:t>
            </w:r>
            <w:r w:rsidR="00EB47C8">
              <w:rPr>
                <w:rFonts w:ascii="Arial" w:eastAsiaTheme="minorEastAsia" w:hAnsi="Arial" w:cs="Arial" w:hint="eastAsia"/>
                <w:sz w:val="20"/>
                <w:szCs w:val="20"/>
              </w:rPr>
              <w:t>Two percent)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 xml:space="preserve"> of the </w:t>
            </w:r>
            <w:r w:rsidR="00EB47C8">
              <w:rPr>
                <w:rFonts w:ascii="Arial" w:eastAsiaTheme="minorEastAsia" w:hAnsi="Arial" w:cs="Arial" w:hint="eastAsia"/>
                <w:sz w:val="20"/>
                <w:szCs w:val="20"/>
              </w:rPr>
              <w:t>income</w:t>
            </w:r>
            <w:r w:rsidR="00EB47C8">
              <w:rPr>
                <w:rFonts w:ascii="Arial" w:eastAsiaTheme="minorEastAsia" w:hAnsi="Arial" w:cs="Arial"/>
                <w:sz w:val="20"/>
                <w:szCs w:val="20"/>
              </w:rPr>
              <w:t xml:space="preserve">r for "Package: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Vinh Son 4 Hydropower Project</w:t>
            </w:r>
            <w:r w:rsidR="00EB47C8">
              <w:rPr>
                <w:rFonts w:ascii="Arial" w:eastAsiaTheme="minorEastAsia" w:hAnsi="Arial" w:cs="Arial"/>
                <w:sz w:val="20"/>
                <w:szCs w:val="20"/>
              </w:rPr>
              <w:t>” and "</w:t>
            </w:r>
            <w:r w:rsidR="00EB47C8"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Biology Lake </w:t>
            </w:r>
            <w:r w:rsidRPr="001F616C">
              <w:rPr>
                <w:rFonts w:ascii="Arial" w:eastAsiaTheme="minorEastAsia" w:hAnsi="Arial" w:cs="Arial"/>
                <w:sz w:val="20"/>
                <w:szCs w:val="20"/>
              </w:rPr>
              <w:t>Project".</w:t>
            </w:r>
          </w:p>
        </w:tc>
      </w:tr>
      <w:tr w:rsidR="002F7F95" w:rsidRPr="00827FE5" w:rsidTr="00400A32">
        <w:trPr>
          <w:trHeight w:hRule="exact" w:val="9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04a/QĐ-HĐQT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15/3/2017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EB47C8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Decision on the establishment of legal department -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d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ebt settlement under the Corporation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, based on the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transf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ormation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of the Legal Department of the Political Bureau and the debt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committee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of the F</w:t>
            </w:r>
            <w:r w:rsidR="00400A32">
              <w:rPr>
                <w:rFonts w:ascii="Arial" w:eastAsiaTheme="minorEastAsia" w:hAnsi="Arial" w:cs="Arial"/>
                <w:sz w:val="20"/>
                <w:szCs w:val="20"/>
              </w:rPr>
              <w:t>inance Department / Corporation</w:t>
            </w:r>
          </w:p>
        </w:tc>
      </w:tr>
      <w:tr w:rsidR="002F7F95" w:rsidRPr="00827FE5" w:rsidTr="00400A32">
        <w:trPr>
          <w:trHeight w:hRule="exact" w:val="3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04/QĐ-HĐQT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15/4/2017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EB47C8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Decision on the assignment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with members of the B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OD</w:t>
            </w:r>
          </w:p>
        </w:tc>
      </w:tr>
      <w:tr w:rsidR="002F7F95" w:rsidRPr="00827FE5" w:rsidTr="00400A32">
        <w:trPr>
          <w:trHeight w:hRule="exact" w:val="4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lastRenderedPageBreak/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05/QĐ-HĐQT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15/5/2017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827FE5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Decision on dividend release of 2</w:t>
            </w:r>
            <w:r w:rsidR="002F7F95" w:rsidRPr="00827FE5">
              <w:rPr>
                <w:rFonts w:ascii="Arial" w:hAnsi="Arial" w:cs="Arial"/>
                <w:sz w:val="20"/>
                <w:szCs w:val="20"/>
              </w:rPr>
              <w:t>016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by cash</w:t>
            </w:r>
          </w:p>
        </w:tc>
      </w:tr>
      <w:tr w:rsidR="002F7F95" w:rsidRPr="00827FE5" w:rsidTr="00400A32">
        <w:trPr>
          <w:trHeight w:hRule="exact" w:val="9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07a/QĐ-HĐQT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15/5/2017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EB47C8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Decision on the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payment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rate of 0%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income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for the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works of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 "Communication Technology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Development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and Co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mmunity Support Center"</w:t>
            </w:r>
          </w:p>
        </w:tc>
      </w:tr>
      <w:tr w:rsidR="002F7F95" w:rsidRPr="00827FE5" w:rsidTr="00400A32">
        <w:trPr>
          <w:trHeight w:hRule="exact" w:val="5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03/QĐ-HĐQT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09/6/2017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EB47C8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Decision on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the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dismissal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of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Doan Minh Tuan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a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Deputy General Director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36 </w:t>
            </w:r>
            <w:r w:rsidR="00400A32">
              <w:rPr>
                <w:rFonts w:ascii="Arial" w:eastAsiaTheme="minorEastAsia" w:hAnsi="Arial" w:cs="Arial"/>
                <w:sz w:val="20"/>
                <w:szCs w:val="20"/>
              </w:rPr>
              <w:t xml:space="preserve">Corporation - </w:t>
            </w:r>
            <w:proofErr w:type="spellStart"/>
            <w:r w:rsidR="00400A32">
              <w:rPr>
                <w:rFonts w:ascii="Arial" w:eastAsiaTheme="minorEastAsia" w:hAnsi="Arial" w:cs="Arial"/>
                <w:sz w:val="20"/>
                <w:szCs w:val="20"/>
              </w:rPr>
              <w:t>JSC</w:t>
            </w:r>
            <w:proofErr w:type="spellEnd"/>
          </w:p>
        </w:tc>
      </w:tr>
      <w:tr w:rsidR="002F7F95" w:rsidRPr="00827FE5" w:rsidTr="00D14FBB">
        <w:trPr>
          <w:trHeight w:hRule="exact" w:val="7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07/QĐ-HĐQT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15/6/2017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EB47C8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 xml:space="preserve">Decision on the approval of 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the </w:t>
            </w:r>
            <w:r w:rsidRPr="00EB47C8">
              <w:rPr>
                <w:rFonts w:ascii="Arial" w:eastAsiaTheme="minorEastAsia" w:hAnsi="Arial" w:cs="Arial"/>
                <w:sz w:val="20"/>
                <w:szCs w:val="20"/>
              </w:rPr>
              <w:t>project "Renovation of B6 Giang Vo Building" at B6 Nam Cao Street, Giang Vo Ward, Ba Dinh District, Hanoi.</w:t>
            </w:r>
            <w:proofErr w:type="gramEnd"/>
          </w:p>
        </w:tc>
      </w:tr>
      <w:tr w:rsidR="002F7F95" w:rsidRPr="00827FE5" w:rsidTr="00D14FBB">
        <w:trPr>
          <w:trHeight w:hRule="exact" w:val="5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08/QĐ-HĐQT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30/6/2017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827FE5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Decision on the selection of an audit firm for the semi-annual and annual financial statements of </w:t>
            </w:r>
            <w:r>
              <w:rPr>
                <w:rFonts w:ascii="Arial" w:hAnsi="Arial" w:cs="Arial"/>
                <w:sz w:val="20"/>
                <w:szCs w:val="20"/>
              </w:rPr>
              <w:t xml:space="preserve">2017 for </w:t>
            </w:r>
            <w:r w:rsidR="002F7F95" w:rsidRPr="00827FE5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Corporation - JSC</w:t>
            </w:r>
          </w:p>
        </w:tc>
      </w:tr>
      <w:tr w:rsidR="002F7F95" w:rsidRPr="00827FE5" w:rsidTr="00D14FBB">
        <w:trPr>
          <w:trHeight w:hRule="exact" w:val="7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left="340" w:firstLine="0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</w:pPr>
            <w:r w:rsidRPr="00827FE5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28/QĐ-HĐQT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827FE5" w:rsidRDefault="002F7F95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FE5">
              <w:rPr>
                <w:rFonts w:ascii="Arial" w:hAnsi="Arial" w:cs="Arial"/>
                <w:sz w:val="20"/>
                <w:szCs w:val="20"/>
              </w:rPr>
              <w:t>30/6/2017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827FE5" w:rsidRDefault="00EB47C8" w:rsidP="00E95817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Decision on the capital contribution to establishing 3</w:t>
            </w:r>
            <w:r w:rsidR="002F7F95" w:rsidRPr="00827FE5">
              <w:rPr>
                <w:rFonts w:ascii="Arial" w:hAnsi="Arial" w:cs="Arial"/>
                <w:sz w:val="20"/>
                <w:szCs w:val="20"/>
              </w:rPr>
              <w:t>6.HOME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Corporation and appoint a legal representative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with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 xml:space="preserve"> authorized capital proportion in the enterprise</w:t>
            </w:r>
          </w:p>
        </w:tc>
      </w:tr>
    </w:tbl>
    <w:p w:rsidR="00171E38" w:rsidRDefault="00171E38">
      <w:pPr>
        <w:rPr>
          <w:rFonts w:ascii="Arial" w:hAnsi="Arial" w:cs="Arial"/>
          <w:sz w:val="20"/>
          <w:szCs w:val="20"/>
        </w:rPr>
      </w:pPr>
    </w:p>
    <w:p w:rsidR="002F7F95" w:rsidRDefault="002F7F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IV. Board of Supervision:</w:t>
      </w:r>
    </w:p>
    <w:p w:rsidR="002F7F95" w:rsidRPr="002F7F95" w:rsidRDefault="002F7F95" w:rsidP="002F7F9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Information of the Board of Supervision</w:t>
      </w:r>
    </w:p>
    <w:tbl>
      <w:tblPr>
        <w:tblW w:w="98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365"/>
        <w:gridCol w:w="2165"/>
        <w:gridCol w:w="1710"/>
        <w:gridCol w:w="2160"/>
        <w:gridCol w:w="1170"/>
        <w:gridCol w:w="985"/>
        <w:gridCol w:w="1005"/>
      </w:tblGrid>
      <w:tr w:rsidR="002F7F95" w:rsidRPr="002F7F95" w:rsidTr="00D14FBB">
        <w:trPr>
          <w:trHeight w:hRule="exact" w:val="120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0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9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95">
              <w:rPr>
                <w:rStyle w:val="Vnbnnidung212pt"/>
                <w:rFonts w:ascii="Arial" w:eastAsiaTheme="minorEastAsia" w:hAnsi="Arial" w:cs="Arial"/>
                <w:sz w:val="20"/>
                <w:szCs w:val="20"/>
              </w:rPr>
              <w:t>BOS Members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E95817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Vnbnnidung212pt"/>
                <w:rFonts w:ascii="Arial" w:eastAsiaTheme="minorEastAsia" w:hAnsi="Arial" w:cs="Arial"/>
                <w:sz w:val="20"/>
                <w:szCs w:val="20"/>
              </w:rPr>
              <w:t>Position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95">
              <w:rPr>
                <w:rStyle w:val="Vnbnnidung212pt"/>
                <w:rFonts w:ascii="Arial" w:eastAsiaTheme="minorEastAsia" w:hAnsi="Arial" w:cs="Arial"/>
                <w:sz w:val="20"/>
                <w:szCs w:val="20"/>
              </w:rPr>
              <w:t>Commence date/ termination date of BOS 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95">
              <w:rPr>
                <w:rStyle w:val="Vnbnnidung212pt"/>
                <w:rFonts w:ascii="Arial" w:eastAsiaTheme="minorEastAsia" w:hAnsi="Arial" w:cs="Arial"/>
                <w:sz w:val="20"/>
                <w:szCs w:val="20"/>
              </w:rPr>
              <w:t>Number of meeting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D14FBB" w:rsidRDefault="00D14FBB" w:rsidP="00D14FBB">
            <w:pPr>
              <w:spacing w:after="0" w:line="240" w:lineRule="auto"/>
              <w:ind w:lef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Vnbnnidung212pt"/>
                <w:rFonts w:ascii="Arial" w:eastAsiaTheme="minorEastAsia" w:hAnsi="Arial" w:cs="Arial"/>
                <w:sz w:val="20"/>
                <w:szCs w:val="20"/>
                <w:lang w:val="en-US"/>
              </w:rPr>
              <w:t>Percentage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F95">
              <w:rPr>
                <w:rStyle w:val="Vnbnnidung212pt"/>
                <w:rFonts w:ascii="Arial" w:eastAsiaTheme="minorEastAsia" w:hAnsi="Arial" w:cs="Arial"/>
                <w:sz w:val="20"/>
                <w:szCs w:val="20"/>
              </w:rPr>
              <w:t>Reason for absence</w:t>
            </w:r>
          </w:p>
        </w:tc>
      </w:tr>
      <w:tr w:rsidR="002F7F95" w:rsidRPr="002F7F95" w:rsidTr="00D14FBB">
        <w:trPr>
          <w:trHeight w:hRule="exact" w:val="45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F95" w:rsidRPr="002F7F95" w:rsidRDefault="002F7F95" w:rsidP="00D14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Tran Ngoc</w:t>
            </w:r>
            <w:r w:rsidR="002F7F95" w:rsidRPr="002F7F95">
              <w:rPr>
                <w:rFonts w:ascii="Arial" w:hAnsi="Arial" w:cs="Arial"/>
                <w:sz w:val="20"/>
                <w:szCs w:val="20"/>
              </w:rPr>
              <w:t xml:space="preserve"> Lanh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Head of BOS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95" w:rsidRPr="002F7F95" w:rsidTr="00D14FBB">
        <w:trPr>
          <w:trHeight w:hRule="exact" w:val="54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7F95" w:rsidRPr="002F7F95" w:rsidRDefault="002F7F95" w:rsidP="00D14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Nguyen Phuong Thao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BOS Member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25/5/2016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95" w:rsidRPr="002F7F95" w:rsidTr="00D14FBB">
        <w:trPr>
          <w:trHeight w:hRule="exact" w:val="45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7F95" w:rsidRPr="002F7F95" w:rsidRDefault="002F7F95" w:rsidP="00D14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D</w:t>
            </w:r>
            <w:r>
              <w:rPr>
                <w:rFonts w:ascii="Arial" w:eastAsiaTheme="minorEastAsia" w:hAnsi="Arial" w:cs="Arial" w:hint="eastAsia"/>
                <w:sz w:val="20"/>
                <w:szCs w:val="20"/>
              </w:rPr>
              <w:t>o Manh Cuong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827FE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BOS Member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30/11/2016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pStyle w:val="Vnbnnidung20"/>
              <w:shd w:val="clear" w:color="auto" w:fill="auto"/>
              <w:spacing w:before="0" w:after="0" w:line="240" w:lineRule="auto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F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F95" w:rsidRPr="002F7F95" w:rsidRDefault="002F7F95" w:rsidP="00D14F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7F95" w:rsidRDefault="002F7F95">
      <w:pPr>
        <w:rPr>
          <w:rFonts w:ascii="Arial" w:hAnsi="Arial" w:cs="Arial"/>
          <w:sz w:val="20"/>
          <w:szCs w:val="20"/>
        </w:rPr>
      </w:pPr>
    </w:p>
    <w:p w:rsidR="002F7F95" w:rsidRPr="00EB47C8" w:rsidRDefault="00827FE5">
      <w:pPr>
        <w:rPr>
          <w:rFonts w:ascii="Arial" w:hAnsi="Arial" w:cs="Arial"/>
          <w:b/>
          <w:sz w:val="20"/>
          <w:szCs w:val="20"/>
        </w:rPr>
      </w:pPr>
      <w:r w:rsidRPr="00EB47C8">
        <w:rPr>
          <w:rFonts w:ascii="Arial" w:hAnsi="Arial" w:cs="Arial" w:hint="eastAsia"/>
          <w:b/>
          <w:sz w:val="20"/>
          <w:szCs w:val="20"/>
        </w:rPr>
        <w:t>V.</w:t>
      </w:r>
      <w:r w:rsidR="002F7F95" w:rsidRPr="00EB47C8">
        <w:rPr>
          <w:rFonts w:ascii="Arial" w:hAnsi="Arial" w:cs="Arial"/>
          <w:b/>
          <w:sz w:val="20"/>
          <w:szCs w:val="20"/>
        </w:rPr>
        <w:tab/>
        <w:t>Training of Management in the Company</w:t>
      </w:r>
    </w:p>
    <w:p w:rsidR="002F7F95" w:rsidRPr="00EB47C8" w:rsidRDefault="002F7F95">
      <w:pPr>
        <w:rPr>
          <w:rFonts w:ascii="Arial" w:hAnsi="Arial" w:cs="Arial"/>
          <w:b/>
          <w:sz w:val="20"/>
          <w:szCs w:val="20"/>
          <w:lang w:val="vi-VN"/>
        </w:rPr>
      </w:pPr>
      <w:r w:rsidRPr="00EB47C8">
        <w:rPr>
          <w:rFonts w:ascii="Arial" w:hAnsi="Arial" w:cs="Arial"/>
          <w:b/>
          <w:sz w:val="20"/>
          <w:szCs w:val="20"/>
          <w:lang w:val="vi-VN"/>
        </w:rPr>
        <w:t>V</w:t>
      </w:r>
      <w:r w:rsidR="00827FE5" w:rsidRPr="00EB47C8">
        <w:rPr>
          <w:rFonts w:ascii="Arial" w:hAnsi="Arial" w:cs="Arial" w:hint="eastAsia"/>
          <w:b/>
          <w:sz w:val="20"/>
          <w:szCs w:val="20"/>
          <w:lang w:val="vi-VN"/>
        </w:rPr>
        <w:t>I</w:t>
      </w:r>
      <w:r w:rsidRPr="00EB47C8">
        <w:rPr>
          <w:rFonts w:ascii="Arial" w:hAnsi="Arial" w:cs="Arial"/>
          <w:b/>
          <w:sz w:val="20"/>
          <w:szCs w:val="20"/>
          <w:lang w:val="vi-VN"/>
        </w:rPr>
        <w:t>.</w:t>
      </w:r>
      <w:r w:rsidRPr="00EB47C8">
        <w:rPr>
          <w:rFonts w:ascii="Arial" w:hAnsi="Arial" w:cs="Arial"/>
          <w:b/>
          <w:sz w:val="20"/>
          <w:szCs w:val="20"/>
          <w:lang w:val="vi-VN"/>
        </w:rPr>
        <w:tab/>
        <w:t>List of relevant individuals in the listed company under the Section 34 Article 6 Law on Securities (Semi-annual report of 2017) and Transactions of relevant individuals and the Company</w:t>
      </w:r>
    </w:p>
    <w:p w:rsidR="002F7F95" w:rsidRPr="00EB47C8" w:rsidRDefault="002F7F95">
      <w:pPr>
        <w:rPr>
          <w:rFonts w:ascii="Arial" w:hAnsi="Arial" w:cs="Arial"/>
          <w:b/>
          <w:sz w:val="20"/>
          <w:szCs w:val="20"/>
          <w:lang w:val="vi-VN"/>
        </w:rPr>
      </w:pPr>
      <w:r w:rsidRPr="00EB47C8">
        <w:rPr>
          <w:rFonts w:ascii="Arial" w:hAnsi="Arial" w:cs="Arial"/>
          <w:b/>
          <w:sz w:val="20"/>
          <w:szCs w:val="20"/>
          <w:lang w:val="vi-VN"/>
        </w:rPr>
        <w:t>1.</w:t>
      </w:r>
      <w:r w:rsidRPr="00EB47C8">
        <w:rPr>
          <w:rFonts w:ascii="Arial" w:hAnsi="Arial" w:cs="Arial"/>
          <w:b/>
          <w:sz w:val="20"/>
          <w:szCs w:val="20"/>
          <w:lang w:val="vi-VN"/>
        </w:rPr>
        <w:tab/>
        <w:t>List of relevant individuals in the Company</w:t>
      </w:r>
    </w:p>
    <w:p w:rsidR="002F7F95" w:rsidRPr="00EB47C8" w:rsidRDefault="002F7F95">
      <w:pPr>
        <w:rPr>
          <w:rFonts w:ascii="Arial" w:hAnsi="Arial" w:cs="Arial"/>
          <w:b/>
          <w:sz w:val="20"/>
          <w:szCs w:val="20"/>
        </w:rPr>
      </w:pPr>
      <w:r w:rsidRPr="00EB47C8">
        <w:rPr>
          <w:rFonts w:ascii="Arial" w:hAnsi="Arial" w:cs="Arial"/>
          <w:b/>
          <w:sz w:val="20"/>
          <w:szCs w:val="20"/>
        </w:rPr>
        <w:t>VI</w:t>
      </w:r>
      <w:r w:rsidR="00827FE5" w:rsidRPr="00EB47C8">
        <w:rPr>
          <w:rFonts w:ascii="Arial" w:hAnsi="Arial" w:cs="Arial" w:hint="eastAsia"/>
          <w:b/>
          <w:sz w:val="20"/>
          <w:szCs w:val="20"/>
        </w:rPr>
        <w:t>I</w:t>
      </w:r>
      <w:r w:rsidRPr="00EB47C8">
        <w:rPr>
          <w:rFonts w:ascii="Arial" w:hAnsi="Arial" w:cs="Arial"/>
          <w:b/>
          <w:sz w:val="20"/>
          <w:szCs w:val="20"/>
        </w:rPr>
        <w:t>. Stock transactions of internal people and relevant individuals</w:t>
      </w:r>
    </w:p>
    <w:p w:rsidR="002F7F95" w:rsidRPr="00EB47C8" w:rsidRDefault="00827FE5">
      <w:pPr>
        <w:rPr>
          <w:rFonts w:ascii="Arial" w:hAnsi="Arial" w:cs="Arial"/>
          <w:b/>
          <w:sz w:val="20"/>
          <w:szCs w:val="20"/>
        </w:rPr>
      </w:pPr>
      <w:r w:rsidRPr="00EB47C8">
        <w:rPr>
          <w:rFonts w:ascii="Arial" w:hAnsi="Arial" w:cs="Arial" w:hint="eastAsia"/>
          <w:b/>
          <w:sz w:val="20"/>
          <w:szCs w:val="20"/>
        </w:rPr>
        <w:t xml:space="preserve">VIII. </w:t>
      </w:r>
      <w:r w:rsidR="002F7F95" w:rsidRPr="00EB47C8">
        <w:rPr>
          <w:rFonts w:ascii="Arial" w:hAnsi="Arial" w:cs="Arial"/>
          <w:b/>
          <w:sz w:val="20"/>
          <w:szCs w:val="20"/>
        </w:rPr>
        <w:t>Other concerned matters:</w:t>
      </w:r>
    </w:p>
    <w:sectPr w:rsidR="002F7F95" w:rsidRPr="00EB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94D"/>
    <w:multiLevelType w:val="hybridMultilevel"/>
    <w:tmpl w:val="3076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F19EC"/>
    <w:multiLevelType w:val="multilevel"/>
    <w:tmpl w:val="37D8E8A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96F9D"/>
    <w:multiLevelType w:val="hybridMultilevel"/>
    <w:tmpl w:val="EA26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0"/>
    <w:rsid w:val="000133C0"/>
    <w:rsid w:val="00170654"/>
    <w:rsid w:val="00171E38"/>
    <w:rsid w:val="00196C99"/>
    <w:rsid w:val="001F616C"/>
    <w:rsid w:val="002E2D3F"/>
    <w:rsid w:val="002F7F95"/>
    <w:rsid w:val="00362C97"/>
    <w:rsid w:val="003F0A54"/>
    <w:rsid w:val="00400A32"/>
    <w:rsid w:val="0048553B"/>
    <w:rsid w:val="00496FF9"/>
    <w:rsid w:val="0050381E"/>
    <w:rsid w:val="00586159"/>
    <w:rsid w:val="00756219"/>
    <w:rsid w:val="00827FE5"/>
    <w:rsid w:val="00876BA0"/>
    <w:rsid w:val="00965CFB"/>
    <w:rsid w:val="00A4333E"/>
    <w:rsid w:val="00A864E2"/>
    <w:rsid w:val="00AB7FFD"/>
    <w:rsid w:val="00AD665A"/>
    <w:rsid w:val="00D14FBB"/>
    <w:rsid w:val="00DC45B9"/>
    <w:rsid w:val="00E54463"/>
    <w:rsid w:val="00E95817"/>
    <w:rsid w:val="00EB47C8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AB7F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AB7F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Vnbnnidung411pt">
    <w:name w:val="Văn bản nội dung (4) + 11 pt"/>
    <w:aliases w:val="Không in đậm"/>
    <w:basedOn w:val="Vnbnnidung4"/>
    <w:rsid w:val="00AB7F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B7FFD"/>
    <w:pPr>
      <w:widowControl w:val="0"/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sid w:val="00AB7FFD"/>
    <w:pPr>
      <w:widowControl w:val="0"/>
      <w:shd w:val="clear" w:color="auto" w:fill="FFFFFF"/>
      <w:spacing w:before="600" w:after="240" w:line="293" w:lineRule="exact"/>
      <w:ind w:hanging="4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Vnbnnidung212pt">
    <w:name w:val="Văn bản nội dung (2) + 12 pt"/>
    <w:aliases w:val="In đậm,In nghiêng,Chú thích bảng + 12 pt"/>
    <w:basedOn w:val="Vnbnnidung2"/>
    <w:rsid w:val="00AB7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Consolas">
    <w:name w:val="Văn bản nội dung (2) + Consolas"/>
    <w:aliases w:val="4 pt"/>
    <w:basedOn w:val="Vnbnnidung2"/>
    <w:rsid w:val="00171E3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171E38"/>
    <w:pPr>
      <w:ind w:left="720"/>
      <w:contextualSpacing/>
    </w:pPr>
  </w:style>
  <w:style w:type="character" w:customStyle="1" w:styleId="Vnbnnidung214pt">
    <w:name w:val="Văn bản nội dung (2) + 14 pt"/>
    <w:basedOn w:val="Vnbnnidung2"/>
    <w:rsid w:val="002F7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AB7F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rsid w:val="00AB7F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Vnbnnidung411pt">
    <w:name w:val="Văn bản nội dung (4) + 11 pt"/>
    <w:aliases w:val="Không in đậm"/>
    <w:basedOn w:val="Vnbnnidung4"/>
    <w:rsid w:val="00AB7F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B7FFD"/>
    <w:pPr>
      <w:widowControl w:val="0"/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</w:rPr>
  </w:style>
  <w:style w:type="paragraph" w:customStyle="1" w:styleId="Vnbnnidung40">
    <w:name w:val="Văn bản nội dung (4)"/>
    <w:basedOn w:val="Normal"/>
    <w:link w:val="Vnbnnidung4"/>
    <w:rsid w:val="00AB7FFD"/>
    <w:pPr>
      <w:widowControl w:val="0"/>
      <w:shd w:val="clear" w:color="auto" w:fill="FFFFFF"/>
      <w:spacing w:before="600" w:after="240" w:line="293" w:lineRule="exact"/>
      <w:ind w:hanging="46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Vnbnnidung212pt">
    <w:name w:val="Văn bản nội dung (2) + 12 pt"/>
    <w:aliases w:val="In đậm,In nghiêng,Chú thích bảng + 12 pt"/>
    <w:basedOn w:val="Vnbnnidung2"/>
    <w:rsid w:val="00AB7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Consolas">
    <w:name w:val="Văn bản nội dung (2) + Consolas"/>
    <w:aliases w:val="4 pt"/>
    <w:basedOn w:val="Vnbnnidung2"/>
    <w:rsid w:val="00171E3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171E38"/>
    <w:pPr>
      <w:ind w:left="720"/>
      <w:contextualSpacing/>
    </w:pPr>
  </w:style>
  <w:style w:type="character" w:customStyle="1" w:styleId="Vnbnnidung214pt">
    <w:name w:val="Văn bản nội dung (2) + 14 pt"/>
    <w:basedOn w:val="Vnbnnidung2"/>
    <w:rsid w:val="002F7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2017-08-08T12:26:00Z</dcterms:created>
  <dcterms:modified xsi:type="dcterms:W3CDTF">2017-08-09T01:08:00Z</dcterms:modified>
</cp:coreProperties>
</file>